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39" w:rsidRPr="002F33E9" w:rsidRDefault="00181AB9" w:rsidP="00953C39">
      <w:pPr>
        <w:spacing w:before="240" w:after="240" w:line="240" w:lineRule="auto"/>
        <w:ind w:left="1080" w:right="1080"/>
        <w:jc w:val="center"/>
        <w:outlineLvl w:val="0"/>
        <w:rPr>
          <w:rFonts w:ascii="New Century Schlbk" w:eastAsia="Times New Roman" w:hAnsi="New Century Schlbk" w:cs="Arial"/>
          <w:b/>
          <w:bCs/>
          <w:color w:val="000000"/>
          <w:kern w:val="36"/>
          <w:sz w:val="28"/>
          <w:szCs w:val="28"/>
        </w:rPr>
      </w:pPr>
      <w:r w:rsidRPr="002F33E9">
        <w:rPr>
          <w:rFonts w:ascii="New Century Schlbk" w:eastAsia="Times New Roman" w:hAnsi="New Century Schlbk" w:cs="Arial"/>
          <w:b/>
          <w:bCs/>
          <w:color w:val="000000"/>
          <w:kern w:val="36"/>
          <w:sz w:val="28"/>
          <w:szCs w:val="28"/>
        </w:rPr>
        <w:t>STUDENT </w:t>
      </w:r>
      <w:r w:rsidR="00953C39" w:rsidRPr="002F33E9">
        <w:rPr>
          <w:rFonts w:ascii="New Century Schlbk" w:eastAsia="Times New Roman" w:hAnsi="New Century Schlbk" w:cs="Arial"/>
          <w:b/>
          <w:bCs/>
          <w:color w:val="000000"/>
          <w:kern w:val="36"/>
          <w:sz w:val="28"/>
          <w:szCs w:val="28"/>
        </w:rPr>
        <w:t>WELLNESS</w:t>
      </w:r>
      <w:r w:rsidRPr="002F33E9">
        <w:rPr>
          <w:rFonts w:ascii="New Century Schlbk" w:eastAsia="Times New Roman" w:hAnsi="New Century Schlbk" w:cs="Arial"/>
          <w:b/>
          <w:bCs/>
          <w:color w:val="000000"/>
          <w:kern w:val="36"/>
          <w:sz w:val="28"/>
          <w:szCs w:val="28"/>
        </w:rPr>
        <w:t xml:space="preserve"> AT CANON SCHOOL </w:t>
      </w:r>
    </w:p>
    <w:p w:rsidR="00181AB9" w:rsidRPr="002F33E9" w:rsidRDefault="00181AB9" w:rsidP="00953C39">
      <w:pPr>
        <w:spacing w:before="240" w:after="240" w:line="240" w:lineRule="auto"/>
        <w:ind w:left="1080" w:right="1080"/>
        <w:jc w:val="center"/>
        <w:outlineLvl w:val="0"/>
        <w:rPr>
          <w:rFonts w:ascii="New Century Schlbk" w:eastAsia="Times New Roman" w:hAnsi="New Century Schlbk" w:cs="Arial"/>
          <w:b/>
          <w:bCs/>
          <w:color w:val="000000"/>
          <w:kern w:val="36"/>
          <w:sz w:val="28"/>
          <w:szCs w:val="28"/>
        </w:rPr>
      </w:pPr>
      <w:r w:rsidRPr="002F33E9">
        <w:rPr>
          <w:rFonts w:ascii="New Century Schlbk" w:eastAsia="Times New Roman" w:hAnsi="New Century Schlbk" w:cs="Arial"/>
          <w:b/>
          <w:bCs/>
          <w:color w:val="000000"/>
          <w:kern w:val="36"/>
          <w:sz w:val="28"/>
          <w:szCs w:val="28"/>
        </w:rPr>
        <w:t>JL</w:t>
      </w:r>
      <w:r w:rsidRPr="002F33E9">
        <w:rPr>
          <w:rFonts w:ascii="Century Schoolbook" w:eastAsia="Times New Roman" w:hAnsi="Century Schoolbook" w:cs="Arial"/>
          <w:b/>
          <w:bCs/>
          <w:color w:val="000000"/>
          <w:kern w:val="36"/>
          <w:sz w:val="28"/>
          <w:szCs w:val="28"/>
        </w:rPr>
        <w:t>©</w:t>
      </w:r>
    </w:p>
    <w:p w:rsidR="00181AB9" w:rsidRPr="002F33E9" w:rsidRDefault="00181AB9" w:rsidP="00953C39">
      <w:pPr>
        <w:spacing w:before="240" w:after="240" w:line="240" w:lineRule="auto"/>
        <w:ind w:left="1080" w:right="1080"/>
        <w:jc w:val="center"/>
        <w:outlineLvl w:val="0"/>
        <w:rPr>
          <w:rFonts w:ascii="New Century Schlbk" w:eastAsia="Times New Roman" w:hAnsi="New Century Schlbk" w:cs="Arial"/>
          <w:b/>
          <w:bCs/>
          <w:color w:val="000000"/>
          <w:kern w:val="36"/>
          <w:sz w:val="28"/>
          <w:szCs w:val="28"/>
        </w:rPr>
      </w:pPr>
      <w:r w:rsidRPr="002F33E9">
        <w:rPr>
          <w:rFonts w:ascii="New Century Schlbk" w:eastAsia="Times New Roman" w:hAnsi="New Century Schlbk" w:cs="Arial"/>
          <w:b/>
          <w:bCs/>
          <w:color w:val="000000"/>
          <w:kern w:val="36"/>
          <w:sz w:val="28"/>
          <w:szCs w:val="28"/>
        </w:rPr>
        <w:t>DISTRICT #51</w:t>
      </w:r>
    </w:p>
    <w:p w:rsidR="00953C39" w:rsidRPr="00953C39" w:rsidRDefault="00953C39" w:rsidP="00953C39">
      <w:pPr>
        <w:spacing w:before="100" w:beforeAutospacing="1" w:after="240" w:line="240" w:lineRule="auto"/>
        <w:ind w:left="720"/>
        <w:jc w:val="both"/>
        <w:rPr>
          <w:rFonts w:ascii="Arial" w:eastAsia="Times New Roman" w:hAnsi="Arial" w:cs="Arial"/>
          <w:color w:val="000000"/>
          <w:sz w:val="24"/>
          <w:szCs w:val="24"/>
        </w:rPr>
      </w:pPr>
      <w:r w:rsidRPr="00953C39">
        <w:rPr>
          <w:rFonts w:ascii="Arial" w:eastAsia="Times New Roman" w:hAnsi="Arial" w:cs="Arial"/>
          <w:color w:val="000000"/>
          <w:sz w:val="24"/>
          <w:szCs w:val="24"/>
        </w:rPr>
        <w:t xml:space="preserve">The School District strives to make a significant contribution to the general well being, mental and physical capacity, and learning ability of each student while affording them the opportunity to fully participate in the educational process.  </w:t>
      </w:r>
    </w:p>
    <w:p w:rsidR="00953C39" w:rsidRPr="00953C39" w:rsidRDefault="00953C39" w:rsidP="00953C39">
      <w:pPr>
        <w:spacing w:before="100" w:beforeAutospacing="1" w:after="240" w:line="240" w:lineRule="auto"/>
        <w:ind w:left="720"/>
        <w:jc w:val="both"/>
        <w:rPr>
          <w:rFonts w:ascii="Arial" w:eastAsia="Times New Roman" w:hAnsi="Arial" w:cs="Arial"/>
          <w:color w:val="000000"/>
          <w:sz w:val="24"/>
          <w:szCs w:val="24"/>
        </w:rPr>
      </w:pPr>
      <w:r w:rsidRPr="00953C39">
        <w:rPr>
          <w:rFonts w:ascii="Arial" w:eastAsia="Times New Roman" w:hAnsi="Arial" w:cs="Arial"/>
          <w:color w:val="000000"/>
          <w:sz w:val="24"/>
          <w:szCs w:val="24"/>
        </w:rPr>
        <w:t>The District is committed to providing school environments that promote and protect children's health, well-being, and ability to learn by supporting healthy eating and physical activity.  Healthy eating is demonstrably linked to reduced risk for mortality and development of many chronic diseases as adults.</w:t>
      </w:r>
    </w:p>
    <w:p w:rsidR="00953C39" w:rsidRPr="00953C39" w:rsidRDefault="00953C39" w:rsidP="00953C39">
      <w:pPr>
        <w:spacing w:before="100" w:beforeAutospacing="1" w:after="240" w:line="240" w:lineRule="auto"/>
        <w:ind w:left="720"/>
        <w:jc w:val="both"/>
        <w:rPr>
          <w:rFonts w:ascii="Arial" w:eastAsia="Times New Roman" w:hAnsi="Arial" w:cs="Arial"/>
          <w:color w:val="000000"/>
          <w:sz w:val="24"/>
          <w:szCs w:val="24"/>
        </w:rPr>
      </w:pPr>
      <w:r w:rsidRPr="00953C39">
        <w:rPr>
          <w:rFonts w:ascii="Arial" w:eastAsia="Times New Roman" w:hAnsi="Arial" w:cs="Arial"/>
          <w:color w:val="000000"/>
          <w:sz w:val="24"/>
          <w:szCs w:val="24"/>
        </w:rPr>
        <w:t>To ensure the health and well-being of all students, the Board shall promote and monitor student wellness in a manner that the Board determines is appropriate in the following areas:</w:t>
      </w:r>
    </w:p>
    <w:p w:rsidR="00953C39" w:rsidRPr="00953C39" w:rsidRDefault="00953C39" w:rsidP="00953C39">
      <w:pPr>
        <w:spacing w:before="100" w:beforeAutospacing="1" w:after="240" w:line="240" w:lineRule="auto"/>
        <w:ind w:left="1340"/>
        <w:jc w:val="both"/>
        <w:rPr>
          <w:rFonts w:ascii="Arial" w:eastAsia="Times New Roman" w:hAnsi="Arial" w:cs="Arial"/>
          <w:color w:val="000000"/>
          <w:sz w:val="24"/>
          <w:szCs w:val="24"/>
        </w:rPr>
      </w:pPr>
      <w:r w:rsidRPr="00B01A8D">
        <w:rPr>
          <w:rFonts w:ascii="Arial" w:eastAsia="Times New Roman" w:hAnsi="Arial" w:cs="Arial"/>
          <w:b/>
          <w:color w:val="000000"/>
          <w:sz w:val="24"/>
          <w:szCs w:val="24"/>
        </w:rPr>
        <w:t xml:space="preserve">●  </w:t>
      </w:r>
      <w:r w:rsidRPr="00B01A8D">
        <w:rPr>
          <w:rFonts w:ascii="Arial" w:eastAsia="Times New Roman" w:hAnsi="Arial" w:cs="Arial"/>
          <w:b/>
          <w:i/>
          <w:iCs/>
          <w:color w:val="000000"/>
          <w:sz w:val="24"/>
          <w:szCs w:val="24"/>
        </w:rPr>
        <w:t>Nutrition Guidelines</w:t>
      </w:r>
      <w:r w:rsidRPr="00B01A8D">
        <w:rPr>
          <w:rFonts w:ascii="Arial" w:eastAsia="Times New Roman" w:hAnsi="Arial" w:cs="Arial"/>
          <w:b/>
          <w:color w:val="000000"/>
          <w:sz w:val="24"/>
          <w:szCs w:val="24"/>
        </w:rPr>
        <w:t>:</w:t>
      </w:r>
      <w:r w:rsidRPr="00953C39">
        <w:rPr>
          <w:rFonts w:ascii="Arial" w:eastAsia="Times New Roman" w:hAnsi="Arial" w:cs="Arial"/>
          <w:color w:val="000000"/>
          <w:sz w:val="24"/>
          <w:szCs w:val="24"/>
        </w:rPr>
        <w:t>  All foods available in each school during the day will have as a primary goal the promotion of student health and the reduction of childhood obesity.  All guidelines for reimbursable school meals shall not be less restrictive than regulations and guidance issued by the Secretary of Agriculture, as those regulations and guidance apply to schools.</w:t>
      </w:r>
    </w:p>
    <w:p w:rsidR="00953C39" w:rsidRPr="00953C39" w:rsidRDefault="00953C39" w:rsidP="00953C39">
      <w:pPr>
        <w:spacing w:before="100" w:beforeAutospacing="1" w:after="240" w:line="240" w:lineRule="auto"/>
        <w:ind w:left="1340"/>
        <w:jc w:val="both"/>
        <w:rPr>
          <w:rFonts w:ascii="Arial" w:eastAsia="Times New Roman" w:hAnsi="Arial" w:cs="Arial"/>
          <w:color w:val="000000"/>
          <w:sz w:val="24"/>
          <w:szCs w:val="24"/>
        </w:rPr>
      </w:pPr>
      <w:r w:rsidRPr="00953C39">
        <w:rPr>
          <w:rFonts w:ascii="Arial" w:eastAsia="Times New Roman" w:hAnsi="Arial" w:cs="Arial"/>
          <w:color w:val="000000"/>
          <w:sz w:val="24"/>
          <w:szCs w:val="24"/>
        </w:rPr>
        <w:t xml:space="preserve">●  </w:t>
      </w:r>
      <w:r w:rsidRPr="00B01A8D">
        <w:rPr>
          <w:rFonts w:ascii="Arial" w:eastAsia="Times New Roman" w:hAnsi="Arial" w:cs="Arial"/>
          <w:b/>
          <w:i/>
          <w:iCs/>
          <w:color w:val="000000"/>
          <w:sz w:val="24"/>
          <w:szCs w:val="24"/>
        </w:rPr>
        <w:t>Nutrition Education</w:t>
      </w:r>
      <w:r w:rsidRPr="00B01A8D">
        <w:rPr>
          <w:rFonts w:ascii="Arial" w:eastAsia="Times New Roman" w:hAnsi="Arial" w:cs="Arial"/>
          <w:b/>
          <w:color w:val="000000"/>
          <w:sz w:val="24"/>
          <w:szCs w:val="24"/>
        </w:rPr>
        <w:t xml:space="preserve">:  </w:t>
      </w:r>
      <w:r w:rsidRPr="00953C39">
        <w:rPr>
          <w:rFonts w:ascii="Arial" w:eastAsia="Times New Roman" w:hAnsi="Arial" w:cs="Arial"/>
          <w:color w:val="000000"/>
          <w:sz w:val="24"/>
          <w:szCs w:val="24"/>
        </w:rPr>
        <w:t>The goal is to influence students' eating behaviors by providing nutrition education that is appropriate for students' ages; reflects students' cultures; is integrated into health education or core curricula; and provides opportunities for students to practice skills and have fun.</w:t>
      </w:r>
    </w:p>
    <w:p w:rsidR="00953C39" w:rsidRPr="00953C39" w:rsidRDefault="00953C39" w:rsidP="00953C39">
      <w:pPr>
        <w:spacing w:before="100" w:beforeAutospacing="1" w:after="240" w:line="240" w:lineRule="auto"/>
        <w:ind w:left="1340"/>
        <w:jc w:val="both"/>
        <w:rPr>
          <w:rFonts w:ascii="Arial" w:eastAsia="Times New Roman" w:hAnsi="Arial" w:cs="Arial"/>
          <w:color w:val="000000"/>
          <w:sz w:val="24"/>
          <w:szCs w:val="24"/>
        </w:rPr>
      </w:pPr>
      <w:r w:rsidRPr="00953C39">
        <w:rPr>
          <w:rFonts w:ascii="Arial" w:eastAsia="Times New Roman" w:hAnsi="Arial" w:cs="Arial"/>
          <w:color w:val="000000"/>
          <w:sz w:val="24"/>
          <w:szCs w:val="24"/>
        </w:rPr>
        <w:t xml:space="preserve">●  </w:t>
      </w:r>
      <w:r w:rsidRPr="00B01A8D">
        <w:rPr>
          <w:rFonts w:ascii="Arial" w:eastAsia="Times New Roman" w:hAnsi="Arial" w:cs="Arial"/>
          <w:b/>
          <w:i/>
          <w:iCs/>
          <w:color w:val="000000"/>
          <w:sz w:val="24"/>
          <w:szCs w:val="24"/>
        </w:rPr>
        <w:t>Physical Activity</w:t>
      </w:r>
      <w:r w:rsidRPr="00B01A8D">
        <w:rPr>
          <w:rFonts w:ascii="Arial" w:eastAsia="Times New Roman" w:hAnsi="Arial" w:cs="Arial"/>
          <w:b/>
          <w:color w:val="000000"/>
          <w:sz w:val="24"/>
          <w:szCs w:val="24"/>
        </w:rPr>
        <w:t>:</w:t>
      </w:r>
      <w:r w:rsidRPr="00953C39">
        <w:rPr>
          <w:rFonts w:ascii="Arial" w:eastAsia="Times New Roman" w:hAnsi="Arial" w:cs="Arial"/>
          <w:color w:val="000000"/>
          <w:sz w:val="24"/>
          <w:szCs w:val="24"/>
        </w:rPr>
        <w:t>  The goals for physical activity are to provide opportunities for every student to develop the knowledge and skills for specific physical activities, to maintain students' physical fitness, to ensure students' regular participation in physical activity, and to teach students the short- and long-term benefits of a physically active and healthful lifestyle.</w:t>
      </w:r>
    </w:p>
    <w:p w:rsidR="00953C39" w:rsidRPr="00953C39" w:rsidRDefault="00953C39" w:rsidP="00953C39">
      <w:pPr>
        <w:spacing w:before="100" w:beforeAutospacing="1" w:after="240" w:line="240" w:lineRule="auto"/>
        <w:ind w:left="1340"/>
        <w:jc w:val="both"/>
        <w:rPr>
          <w:rFonts w:ascii="Arial" w:eastAsia="Times New Roman" w:hAnsi="Arial" w:cs="Arial"/>
          <w:color w:val="000000"/>
          <w:sz w:val="24"/>
          <w:szCs w:val="24"/>
        </w:rPr>
      </w:pPr>
      <w:r w:rsidRPr="00953C39">
        <w:rPr>
          <w:rFonts w:ascii="Arial" w:eastAsia="Times New Roman" w:hAnsi="Arial" w:cs="Arial"/>
          <w:color w:val="000000"/>
          <w:sz w:val="24"/>
          <w:szCs w:val="24"/>
        </w:rPr>
        <w:t xml:space="preserve">●  </w:t>
      </w:r>
      <w:r w:rsidRPr="00B01A8D">
        <w:rPr>
          <w:rFonts w:ascii="Arial" w:eastAsia="Times New Roman" w:hAnsi="Arial" w:cs="Arial"/>
          <w:b/>
          <w:i/>
          <w:iCs/>
          <w:color w:val="000000"/>
          <w:sz w:val="24"/>
          <w:szCs w:val="24"/>
        </w:rPr>
        <w:t>Other School-Based Activities</w:t>
      </w:r>
      <w:r w:rsidRPr="00B01A8D">
        <w:rPr>
          <w:rFonts w:ascii="Arial" w:eastAsia="Times New Roman" w:hAnsi="Arial" w:cs="Arial"/>
          <w:b/>
          <w:color w:val="000000"/>
          <w:sz w:val="24"/>
          <w:szCs w:val="24"/>
        </w:rPr>
        <w:t>:</w:t>
      </w:r>
      <w:r w:rsidRPr="00953C39">
        <w:rPr>
          <w:rFonts w:ascii="Arial" w:eastAsia="Times New Roman" w:hAnsi="Arial" w:cs="Arial"/>
          <w:color w:val="000000"/>
          <w:sz w:val="24"/>
          <w:szCs w:val="24"/>
        </w:rPr>
        <w:t>  The goal is to create a total school environment that is conducive to healthy eating and physical activity.</w:t>
      </w:r>
    </w:p>
    <w:p w:rsidR="00953C39" w:rsidRPr="00953C39" w:rsidRDefault="00953C39" w:rsidP="00953C39">
      <w:pPr>
        <w:spacing w:before="100" w:beforeAutospacing="1" w:after="240" w:line="240" w:lineRule="auto"/>
        <w:ind w:left="1340"/>
        <w:jc w:val="both"/>
        <w:rPr>
          <w:rFonts w:ascii="Arial" w:eastAsia="Times New Roman" w:hAnsi="Arial" w:cs="Arial"/>
          <w:color w:val="000000"/>
          <w:sz w:val="24"/>
          <w:szCs w:val="24"/>
        </w:rPr>
      </w:pPr>
      <w:r w:rsidRPr="00953C39">
        <w:rPr>
          <w:rFonts w:ascii="Arial" w:eastAsia="Times New Roman" w:hAnsi="Arial" w:cs="Arial"/>
          <w:color w:val="000000"/>
          <w:sz w:val="24"/>
          <w:szCs w:val="24"/>
        </w:rPr>
        <w:t xml:space="preserve">●  </w:t>
      </w:r>
      <w:r w:rsidRPr="00B01A8D">
        <w:rPr>
          <w:rFonts w:ascii="Arial" w:eastAsia="Times New Roman" w:hAnsi="Arial" w:cs="Arial"/>
          <w:b/>
          <w:i/>
          <w:iCs/>
          <w:color w:val="000000"/>
          <w:sz w:val="24"/>
          <w:szCs w:val="24"/>
        </w:rPr>
        <w:t>Evaluation</w:t>
      </w:r>
      <w:r w:rsidRPr="00B01A8D">
        <w:rPr>
          <w:rFonts w:ascii="Arial" w:eastAsia="Times New Roman" w:hAnsi="Arial" w:cs="Arial"/>
          <w:b/>
          <w:color w:val="000000"/>
          <w:sz w:val="24"/>
          <w:szCs w:val="24"/>
        </w:rPr>
        <w:t>:</w:t>
      </w:r>
      <w:r w:rsidRPr="00953C39">
        <w:rPr>
          <w:rFonts w:ascii="Arial" w:eastAsia="Times New Roman" w:hAnsi="Arial" w:cs="Arial"/>
          <w:color w:val="000000"/>
          <w:sz w:val="24"/>
          <w:szCs w:val="24"/>
        </w:rPr>
        <w:t>  A primary goal will be to regularly (at least annually) evaluate the effectiveness of this policy in promoting healthy eating and changing the program as appropriate to increase its effectiveness.</w:t>
      </w:r>
    </w:p>
    <w:p w:rsidR="00953C39" w:rsidRPr="00953C39" w:rsidRDefault="00953C39" w:rsidP="00953C39">
      <w:pPr>
        <w:spacing w:before="100" w:beforeAutospacing="1" w:after="240" w:line="240" w:lineRule="auto"/>
        <w:ind w:left="1340"/>
        <w:jc w:val="both"/>
        <w:rPr>
          <w:rFonts w:ascii="Arial" w:eastAsia="Times New Roman" w:hAnsi="Arial" w:cs="Arial"/>
          <w:color w:val="000000"/>
          <w:sz w:val="24"/>
          <w:szCs w:val="24"/>
        </w:rPr>
      </w:pPr>
      <w:r w:rsidRPr="00953C39">
        <w:rPr>
          <w:rFonts w:ascii="Arial" w:eastAsia="Times New Roman" w:hAnsi="Arial" w:cs="Arial"/>
          <w:color w:val="000000"/>
          <w:sz w:val="24"/>
          <w:szCs w:val="24"/>
        </w:rPr>
        <w:t>●</w:t>
      </w:r>
      <w:proofErr w:type="gramStart"/>
      <w:r w:rsidRPr="00953C39">
        <w:rPr>
          <w:rFonts w:ascii="Arial" w:eastAsia="Times New Roman" w:hAnsi="Arial" w:cs="Arial"/>
          <w:color w:val="000000"/>
          <w:sz w:val="24"/>
          <w:szCs w:val="24"/>
        </w:rPr>
        <w:t xml:space="preserve">  </w:t>
      </w:r>
      <w:r w:rsidRPr="00B01A8D">
        <w:rPr>
          <w:rFonts w:ascii="Arial" w:eastAsia="Times New Roman" w:hAnsi="Arial" w:cs="Arial"/>
          <w:b/>
          <w:i/>
          <w:iCs/>
          <w:color w:val="000000"/>
          <w:sz w:val="24"/>
          <w:szCs w:val="24"/>
        </w:rPr>
        <w:t>Parent</w:t>
      </w:r>
      <w:proofErr w:type="gramEnd"/>
      <w:r w:rsidRPr="00B01A8D">
        <w:rPr>
          <w:rFonts w:ascii="Arial" w:eastAsia="Times New Roman" w:hAnsi="Arial" w:cs="Arial"/>
          <w:b/>
          <w:i/>
          <w:iCs/>
          <w:color w:val="000000"/>
          <w:sz w:val="24"/>
          <w:szCs w:val="24"/>
        </w:rPr>
        <w:t>, Community and Staff Involvement</w:t>
      </w:r>
      <w:r w:rsidRPr="00B01A8D">
        <w:rPr>
          <w:rFonts w:ascii="Arial" w:eastAsia="Times New Roman" w:hAnsi="Arial" w:cs="Arial"/>
          <w:b/>
          <w:color w:val="000000"/>
          <w:sz w:val="24"/>
          <w:szCs w:val="24"/>
        </w:rPr>
        <w:t>:</w:t>
      </w:r>
      <w:r w:rsidRPr="00953C39">
        <w:rPr>
          <w:rFonts w:ascii="Arial" w:eastAsia="Times New Roman" w:hAnsi="Arial" w:cs="Arial"/>
          <w:color w:val="000000"/>
          <w:sz w:val="24"/>
          <w:szCs w:val="24"/>
        </w:rPr>
        <w:t>  A primary goal will be to engage family members, students, and representatives of the school food authority, the Governing Board, school administrators, and the public in development and regular review of this school policy.</w:t>
      </w:r>
    </w:p>
    <w:p w:rsidR="00953C39" w:rsidRPr="00953C39" w:rsidRDefault="00953C39" w:rsidP="00953C39">
      <w:pPr>
        <w:spacing w:before="100" w:beforeAutospacing="1" w:after="240" w:line="240" w:lineRule="auto"/>
        <w:ind w:left="720"/>
        <w:jc w:val="both"/>
        <w:rPr>
          <w:rFonts w:ascii="Arial" w:eastAsia="Times New Roman" w:hAnsi="Arial" w:cs="Arial"/>
          <w:color w:val="000000"/>
          <w:sz w:val="24"/>
          <w:szCs w:val="24"/>
        </w:rPr>
      </w:pPr>
      <w:r w:rsidRPr="00953C39">
        <w:rPr>
          <w:rFonts w:ascii="Arial" w:eastAsia="Times New Roman" w:hAnsi="Arial" w:cs="Arial"/>
          <w:color w:val="000000"/>
          <w:sz w:val="24"/>
          <w:szCs w:val="24"/>
        </w:rPr>
        <w:t>The Superintendent is directed to develop administrative regulations to implement this policy, including such provisions as may be necessary to address all food and beverages sold and/or served to students at school (i.e., competitive foods, snacks and beverages sold from vending machines, school stores, after-school programs, and funding-raising activities and refreshments that are made available at school parties, celebrations and meetings), including provisions for staff development, family and community involvement and program evaluation.  Regulations and exhibits created for the purpose of implementing this policy shall be considered, in effect, to be an extension of this policy subject to Governing Board review.</w:t>
      </w:r>
    </w:p>
    <w:p w:rsidR="00953C39" w:rsidRPr="00953C39" w:rsidRDefault="00953C39" w:rsidP="00953C39">
      <w:pPr>
        <w:spacing w:before="100" w:beforeAutospacing="1" w:after="240" w:line="240" w:lineRule="auto"/>
        <w:ind w:left="720"/>
        <w:rPr>
          <w:rFonts w:ascii="Arial" w:eastAsia="Times New Roman" w:hAnsi="Arial" w:cs="Arial"/>
          <w:color w:val="000000"/>
          <w:sz w:val="24"/>
          <w:szCs w:val="24"/>
        </w:rPr>
      </w:pPr>
      <w:r w:rsidRPr="00953C39">
        <w:rPr>
          <w:rFonts w:ascii="Arial" w:eastAsia="Times New Roman" w:hAnsi="Arial" w:cs="Arial"/>
          <w:color w:val="000000"/>
          <w:sz w:val="24"/>
          <w:szCs w:val="24"/>
        </w:rPr>
        <w:t>Adopted:  date of Manual adoption</w:t>
      </w:r>
    </w:p>
    <w:p w:rsidR="00953C39" w:rsidRPr="00953C39" w:rsidRDefault="00953C39" w:rsidP="00953C39">
      <w:pPr>
        <w:spacing w:before="100" w:beforeAutospacing="1" w:after="240" w:line="240" w:lineRule="auto"/>
        <w:ind w:left="720"/>
        <w:jc w:val="both"/>
        <w:rPr>
          <w:rFonts w:ascii="Arial" w:eastAsia="Times New Roman" w:hAnsi="Arial" w:cs="Arial"/>
          <w:color w:val="000000"/>
          <w:sz w:val="24"/>
          <w:szCs w:val="24"/>
        </w:rPr>
      </w:pPr>
      <w:r w:rsidRPr="00953C39">
        <w:rPr>
          <w:rFonts w:ascii="Arial" w:eastAsia="Times New Roman" w:hAnsi="Arial" w:cs="Arial"/>
          <w:color w:val="000000"/>
          <w:sz w:val="24"/>
          <w:szCs w:val="24"/>
        </w:rPr>
        <w:t>LEGAL REF.:</w:t>
      </w:r>
      <w:r w:rsidRPr="00953C39">
        <w:rPr>
          <w:rFonts w:ascii="Arial" w:eastAsia="Times New Roman" w:hAnsi="Arial" w:cs="Arial"/>
          <w:color w:val="000000"/>
          <w:sz w:val="24"/>
          <w:szCs w:val="24"/>
        </w:rPr>
        <w:br/>
        <w:t>A.R.S.</w:t>
      </w:r>
      <w:r w:rsidRPr="00953C39">
        <w:rPr>
          <w:rFonts w:ascii="Arial" w:eastAsia="Times New Roman" w:hAnsi="Arial" w:cs="Arial"/>
          <w:color w:val="000000"/>
          <w:sz w:val="24"/>
          <w:szCs w:val="24"/>
        </w:rPr>
        <w:br/>
      </w:r>
      <w:hyperlink r:id="rId4" w:tgtFrame="_blank" w:history="1">
        <w:r w:rsidRPr="00953C39">
          <w:rPr>
            <w:rFonts w:ascii="Arial" w:eastAsia="Times New Roman" w:hAnsi="Arial" w:cs="Arial"/>
            <w:color w:val="0000FF"/>
            <w:sz w:val="24"/>
            <w:szCs w:val="24"/>
            <w:u w:val="single"/>
          </w:rPr>
          <w:t>15-242</w:t>
        </w:r>
      </w:hyperlink>
      <w:r w:rsidRPr="00953C39">
        <w:rPr>
          <w:rFonts w:ascii="Arial" w:eastAsia="Times New Roman" w:hAnsi="Arial" w:cs="Arial"/>
          <w:color w:val="000000"/>
          <w:sz w:val="24"/>
          <w:szCs w:val="24"/>
        </w:rPr>
        <w:br/>
        <w:t xml:space="preserve">42 U. S. C. 1751 </w:t>
      </w:r>
      <w:r w:rsidRPr="00953C39">
        <w:rPr>
          <w:rFonts w:ascii="Arial" w:eastAsia="Times New Roman" w:hAnsi="Arial" w:cs="Arial"/>
          <w:i/>
          <w:iCs/>
          <w:color w:val="000000"/>
          <w:sz w:val="24"/>
          <w:szCs w:val="24"/>
        </w:rPr>
        <w:t xml:space="preserve">et seq. </w:t>
      </w:r>
      <w:r w:rsidRPr="00953C39">
        <w:rPr>
          <w:rFonts w:ascii="Arial" w:eastAsia="Times New Roman" w:hAnsi="Arial" w:cs="Arial"/>
          <w:color w:val="000000"/>
          <w:sz w:val="24"/>
          <w:szCs w:val="24"/>
        </w:rPr>
        <w:t>(National School Lunch Act</w:t>
      </w:r>
      <w:proofErr w:type="gramStart"/>
      <w:r w:rsidRPr="00953C39">
        <w:rPr>
          <w:rFonts w:ascii="Arial" w:eastAsia="Times New Roman" w:hAnsi="Arial" w:cs="Arial"/>
          <w:color w:val="000000"/>
          <w:sz w:val="24"/>
          <w:szCs w:val="24"/>
        </w:rPr>
        <w:t>)</w:t>
      </w:r>
      <w:proofErr w:type="gramEnd"/>
      <w:r w:rsidRPr="00953C39">
        <w:rPr>
          <w:rFonts w:ascii="Arial" w:eastAsia="Times New Roman" w:hAnsi="Arial" w:cs="Arial"/>
          <w:color w:val="000000"/>
          <w:sz w:val="24"/>
          <w:szCs w:val="24"/>
        </w:rPr>
        <w:br/>
        <w:t xml:space="preserve">42 U. S. C. 1771 </w:t>
      </w:r>
      <w:r w:rsidRPr="00953C39">
        <w:rPr>
          <w:rFonts w:ascii="Arial" w:eastAsia="Times New Roman" w:hAnsi="Arial" w:cs="Arial"/>
          <w:i/>
          <w:iCs/>
          <w:color w:val="000000"/>
          <w:sz w:val="24"/>
          <w:szCs w:val="24"/>
        </w:rPr>
        <w:t xml:space="preserve">et seq. </w:t>
      </w:r>
      <w:r w:rsidRPr="00953C39">
        <w:rPr>
          <w:rFonts w:ascii="Arial" w:eastAsia="Times New Roman" w:hAnsi="Arial" w:cs="Arial"/>
          <w:color w:val="000000"/>
          <w:sz w:val="24"/>
          <w:szCs w:val="24"/>
        </w:rPr>
        <w:t>(Child Nutrition Act)</w:t>
      </w:r>
    </w:p>
    <w:p w:rsidR="00953C39" w:rsidRPr="00953C39" w:rsidRDefault="00953C39" w:rsidP="00953C39">
      <w:pPr>
        <w:spacing w:before="100" w:beforeAutospacing="1" w:after="240" w:line="240" w:lineRule="auto"/>
        <w:ind w:left="720"/>
        <w:jc w:val="both"/>
        <w:rPr>
          <w:rFonts w:ascii="Arial" w:eastAsia="Times New Roman" w:hAnsi="Arial" w:cs="Arial"/>
          <w:color w:val="000000"/>
          <w:sz w:val="24"/>
          <w:szCs w:val="24"/>
        </w:rPr>
      </w:pPr>
      <w:r w:rsidRPr="00953C39">
        <w:rPr>
          <w:rFonts w:ascii="Arial" w:eastAsia="Times New Roman" w:hAnsi="Arial" w:cs="Arial"/>
          <w:color w:val="000000"/>
          <w:sz w:val="24"/>
          <w:szCs w:val="24"/>
        </w:rPr>
        <w:t>CROSS REF.:</w:t>
      </w:r>
      <w:r w:rsidRPr="00953C39">
        <w:rPr>
          <w:rFonts w:ascii="Arial" w:eastAsia="Times New Roman" w:hAnsi="Arial" w:cs="Arial"/>
          <w:color w:val="000000"/>
          <w:sz w:val="24"/>
          <w:szCs w:val="24"/>
        </w:rPr>
        <w:br/>
      </w:r>
      <w:hyperlink r:id="rId5" w:anchor="JD_ABA" w:history="1">
        <w:r w:rsidRPr="00953C39">
          <w:rPr>
            <w:rFonts w:ascii="Arial" w:eastAsia="Times New Roman" w:hAnsi="Arial" w:cs="Arial"/>
            <w:color w:val="0000FF"/>
            <w:sz w:val="24"/>
            <w:szCs w:val="24"/>
            <w:u w:val="single"/>
          </w:rPr>
          <w:t>ABA</w:t>
        </w:r>
      </w:hyperlink>
      <w:r w:rsidRPr="00953C39">
        <w:rPr>
          <w:rFonts w:ascii="Arial" w:eastAsia="Times New Roman" w:hAnsi="Arial" w:cs="Arial"/>
          <w:color w:val="000000"/>
          <w:sz w:val="24"/>
          <w:szCs w:val="24"/>
        </w:rPr>
        <w:t xml:space="preserve"> - Community Involvement in Education</w:t>
      </w:r>
      <w:r w:rsidRPr="00953C39">
        <w:rPr>
          <w:rFonts w:ascii="Arial" w:eastAsia="Times New Roman" w:hAnsi="Arial" w:cs="Arial"/>
          <w:color w:val="000000"/>
          <w:sz w:val="24"/>
          <w:szCs w:val="24"/>
        </w:rPr>
        <w:br/>
      </w:r>
      <w:hyperlink r:id="rId6" w:anchor="JD_ABAA" w:history="1">
        <w:r w:rsidRPr="00953C39">
          <w:rPr>
            <w:rFonts w:ascii="Arial" w:eastAsia="Times New Roman" w:hAnsi="Arial" w:cs="Arial"/>
            <w:color w:val="0000FF"/>
            <w:sz w:val="24"/>
            <w:szCs w:val="24"/>
            <w:u w:val="single"/>
          </w:rPr>
          <w:t>ABAA</w:t>
        </w:r>
      </w:hyperlink>
      <w:r w:rsidRPr="00953C39">
        <w:rPr>
          <w:rFonts w:ascii="Arial" w:eastAsia="Times New Roman" w:hAnsi="Arial" w:cs="Arial"/>
          <w:color w:val="000000"/>
          <w:sz w:val="24"/>
          <w:szCs w:val="24"/>
        </w:rPr>
        <w:t xml:space="preserve"> - Parental Involvement</w:t>
      </w:r>
      <w:r w:rsidRPr="00953C39">
        <w:rPr>
          <w:rFonts w:ascii="Arial" w:eastAsia="Times New Roman" w:hAnsi="Arial" w:cs="Arial"/>
          <w:color w:val="000000"/>
          <w:sz w:val="24"/>
          <w:szCs w:val="24"/>
        </w:rPr>
        <w:br/>
      </w:r>
      <w:hyperlink r:id="rId7" w:anchor="JD_BBA" w:history="1">
        <w:r w:rsidRPr="00953C39">
          <w:rPr>
            <w:rFonts w:ascii="Arial" w:eastAsia="Times New Roman" w:hAnsi="Arial" w:cs="Arial"/>
            <w:color w:val="0000FF"/>
            <w:sz w:val="24"/>
            <w:szCs w:val="24"/>
            <w:u w:val="single"/>
          </w:rPr>
          <w:t>BBA</w:t>
        </w:r>
      </w:hyperlink>
      <w:r w:rsidRPr="00953C39">
        <w:rPr>
          <w:rFonts w:ascii="Arial" w:eastAsia="Times New Roman" w:hAnsi="Arial" w:cs="Arial"/>
          <w:color w:val="000000"/>
          <w:sz w:val="24"/>
          <w:szCs w:val="24"/>
        </w:rPr>
        <w:t xml:space="preserve"> - Board Powers and Responsibilities</w:t>
      </w:r>
      <w:r w:rsidRPr="00953C39">
        <w:rPr>
          <w:rFonts w:ascii="Arial" w:eastAsia="Times New Roman" w:hAnsi="Arial" w:cs="Arial"/>
          <w:color w:val="000000"/>
          <w:sz w:val="24"/>
          <w:szCs w:val="24"/>
        </w:rPr>
        <w:br/>
      </w:r>
      <w:hyperlink r:id="rId8" w:anchor="JD_EF" w:history="1">
        <w:r w:rsidRPr="00953C39">
          <w:rPr>
            <w:rFonts w:ascii="Arial" w:eastAsia="Times New Roman" w:hAnsi="Arial" w:cs="Arial"/>
            <w:color w:val="0000FF"/>
            <w:sz w:val="24"/>
            <w:szCs w:val="24"/>
            <w:u w:val="single"/>
          </w:rPr>
          <w:t>EF</w:t>
        </w:r>
      </w:hyperlink>
      <w:r w:rsidRPr="00953C39">
        <w:rPr>
          <w:rFonts w:ascii="Arial" w:eastAsia="Times New Roman" w:hAnsi="Arial" w:cs="Arial"/>
          <w:color w:val="000000"/>
          <w:sz w:val="24"/>
          <w:szCs w:val="24"/>
        </w:rPr>
        <w:t xml:space="preserve"> - Food Services</w:t>
      </w:r>
      <w:r w:rsidRPr="00953C39">
        <w:rPr>
          <w:rFonts w:ascii="Arial" w:eastAsia="Times New Roman" w:hAnsi="Arial" w:cs="Arial"/>
          <w:color w:val="000000"/>
          <w:sz w:val="24"/>
          <w:szCs w:val="24"/>
        </w:rPr>
        <w:br/>
      </w:r>
      <w:hyperlink r:id="rId9" w:anchor="JD_EFE" w:history="1">
        <w:r w:rsidRPr="00953C39">
          <w:rPr>
            <w:rFonts w:ascii="Arial" w:eastAsia="Times New Roman" w:hAnsi="Arial" w:cs="Arial"/>
            <w:color w:val="0000FF"/>
            <w:sz w:val="24"/>
            <w:szCs w:val="24"/>
            <w:u w:val="single"/>
          </w:rPr>
          <w:t>EFE</w:t>
        </w:r>
      </w:hyperlink>
      <w:r w:rsidRPr="00953C39">
        <w:rPr>
          <w:rFonts w:ascii="Arial" w:eastAsia="Times New Roman" w:hAnsi="Arial" w:cs="Arial"/>
          <w:color w:val="000000"/>
          <w:sz w:val="24"/>
          <w:szCs w:val="24"/>
        </w:rPr>
        <w:t xml:space="preserve"> - Competitive Food Sales/Vending Machines</w:t>
      </w:r>
    </w:p>
    <w:p w:rsidR="00CD0498" w:rsidRDefault="00CD0498">
      <w:bookmarkStart w:id="0" w:name="_GoBack"/>
      <w:bookmarkEnd w:id="0"/>
    </w:p>
    <w:sectPr w:rsidR="00CD0498" w:rsidSect="00F52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lbk">
    <w:altName w:val="Century Schoolbook"/>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53C39"/>
    <w:rsid w:val="00181AB9"/>
    <w:rsid w:val="002F33E9"/>
    <w:rsid w:val="00523D9A"/>
    <w:rsid w:val="00534C67"/>
    <w:rsid w:val="00953C39"/>
    <w:rsid w:val="00B01A8D"/>
    <w:rsid w:val="00CD0498"/>
    <w:rsid w:val="00F52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798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azsba.org/asba/DocViewer.jsp?docid=177&amp;z2collection=canon" TargetMode="External"/><Relationship Id="rId3" Type="http://schemas.openxmlformats.org/officeDocument/2006/relationships/webSettings" Target="webSettings.xml"/><Relationship Id="rId7" Type="http://schemas.openxmlformats.org/officeDocument/2006/relationships/hyperlink" Target="http://policy.azsba.org/asba/DocViewer.jsp?docid=21&amp;z2collection=canon"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azsba.org/asba/DocViewer.jsp?docid=8&amp;z2collection=canon" TargetMode="External"/><Relationship Id="rId11" Type="http://schemas.openxmlformats.org/officeDocument/2006/relationships/theme" Target="theme/theme1.xml"/><Relationship Id="rId5" Type="http://schemas.openxmlformats.org/officeDocument/2006/relationships/hyperlink" Target="http://policy.azsba.org/asba/DocViewer.jsp?docid=7&amp;z2collection=canon" TargetMode="External"/><Relationship Id="rId10" Type="http://schemas.openxmlformats.org/officeDocument/2006/relationships/fontTable" Target="fontTable.xml"/><Relationship Id="rId4" Type="http://schemas.openxmlformats.org/officeDocument/2006/relationships/hyperlink" Target="http://www.azleg.gov/FormatDocument.asp?inDoc=/ars/15/00242.htm&amp;Title=15~DocTypeDocType=ARS" TargetMode="External"/><Relationship Id="rId9" Type="http://schemas.openxmlformats.org/officeDocument/2006/relationships/hyperlink" Target="http://policy.azsba.org/asba/DocViewer.jsp?docid=182&amp;z2collection=ca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Jangula</dc:creator>
  <cp:lastModifiedBy>lb</cp:lastModifiedBy>
  <cp:revision>2</cp:revision>
  <dcterms:created xsi:type="dcterms:W3CDTF">2017-02-21T21:38:00Z</dcterms:created>
  <dcterms:modified xsi:type="dcterms:W3CDTF">2017-02-21T21:38:00Z</dcterms:modified>
</cp:coreProperties>
</file>